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319" w:rsidRDefault="001C5319" w:rsidP="001C5319">
      <w:pPr>
        <w:spacing w:line="480" w:lineRule="auto"/>
        <w:jc w:val="center"/>
        <w:rPr>
          <w:rFonts w:ascii="Times New Roman" w:hAnsi="Times New Roman" w:cs="Times New Roman"/>
          <w:sz w:val="24"/>
          <w:szCs w:val="24"/>
        </w:rPr>
      </w:pPr>
    </w:p>
    <w:p w:rsidR="001C5319" w:rsidRDefault="001C5319" w:rsidP="001C5319">
      <w:pPr>
        <w:spacing w:line="480" w:lineRule="auto"/>
        <w:jc w:val="center"/>
        <w:rPr>
          <w:rFonts w:ascii="Times New Roman" w:hAnsi="Times New Roman" w:cs="Times New Roman"/>
          <w:sz w:val="24"/>
          <w:szCs w:val="24"/>
        </w:rPr>
      </w:pPr>
    </w:p>
    <w:p w:rsidR="001C5319" w:rsidRDefault="001C5319" w:rsidP="001C5319">
      <w:pPr>
        <w:spacing w:line="480" w:lineRule="auto"/>
        <w:jc w:val="center"/>
        <w:rPr>
          <w:rFonts w:ascii="Times New Roman" w:hAnsi="Times New Roman" w:cs="Times New Roman"/>
          <w:sz w:val="24"/>
          <w:szCs w:val="24"/>
        </w:rPr>
      </w:pPr>
    </w:p>
    <w:p w:rsidR="001C5319" w:rsidRDefault="001C5319" w:rsidP="001C5319">
      <w:pPr>
        <w:spacing w:line="480" w:lineRule="auto"/>
        <w:jc w:val="center"/>
        <w:rPr>
          <w:rFonts w:ascii="Times New Roman" w:hAnsi="Times New Roman" w:cs="Times New Roman"/>
          <w:sz w:val="24"/>
          <w:szCs w:val="24"/>
        </w:rPr>
      </w:pPr>
    </w:p>
    <w:p w:rsidR="001C5319" w:rsidRDefault="001C5319" w:rsidP="001C5319">
      <w:pPr>
        <w:spacing w:line="480" w:lineRule="auto"/>
        <w:jc w:val="center"/>
        <w:rPr>
          <w:rFonts w:ascii="Times New Roman" w:hAnsi="Times New Roman" w:cs="Times New Roman"/>
          <w:sz w:val="24"/>
          <w:szCs w:val="24"/>
        </w:rPr>
      </w:pPr>
    </w:p>
    <w:p w:rsidR="001C5319" w:rsidRDefault="001C5319" w:rsidP="001C5319">
      <w:pPr>
        <w:spacing w:line="480" w:lineRule="auto"/>
        <w:jc w:val="center"/>
        <w:rPr>
          <w:rFonts w:ascii="Times New Roman" w:hAnsi="Times New Roman" w:cs="Times New Roman"/>
          <w:sz w:val="24"/>
          <w:szCs w:val="24"/>
        </w:rPr>
      </w:pPr>
    </w:p>
    <w:p w:rsidR="001C5319" w:rsidRDefault="001C5319" w:rsidP="001C5319">
      <w:pPr>
        <w:spacing w:line="480" w:lineRule="auto"/>
        <w:jc w:val="center"/>
        <w:rPr>
          <w:rFonts w:ascii="Times New Roman" w:hAnsi="Times New Roman" w:cs="Times New Roman"/>
          <w:sz w:val="24"/>
          <w:szCs w:val="24"/>
        </w:rPr>
      </w:pPr>
    </w:p>
    <w:p w:rsidR="001C5319" w:rsidRDefault="00A06433" w:rsidP="001C5319">
      <w:pPr>
        <w:spacing w:line="480" w:lineRule="auto"/>
        <w:jc w:val="center"/>
        <w:rPr>
          <w:rFonts w:ascii="Times New Roman" w:hAnsi="Times New Roman" w:cs="Times New Roman"/>
          <w:sz w:val="24"/>
          <w:szCs w:val="24"/>
        </w:rPr>
      </w:pPr>
      <w:r>
        <w:rPr>
          <w:rFonts w:ascii="Times New Roman" w:hAnsi="Times New Roman" w:cs="Times New Roman"/>
          <w:sz w:val="24"/>
          <w:szCs w:val="24"/>
        </w:rPr>
        <w:t>Economic Brief</w:t>
      </w:r>
    </w:p>
    <w:p w:rsidR="0080412D" w:rsidRDefault="00A06433" w:rsidP="001C5319">
      <w:pPr>
        <w:spacing w:line="480" w:lineRule="auto"/>
        <w:jc w:val="center"/>
        <w:rPr>
          <w:rFonts w:ascii="Times New Roman" w:hAnsi="Times New Roman" w:cs="Times New Roman"/>
          <w:sz w:val="24"/>
          <w:szCs w:val="24"/>
        </w:rPr>
      </w:pPr>
      <w:r>
        <w:rPr>
          <w:rFonts w:ascii="Times New Roman" w:hAnsi="Times New Roman" w:cs="Times New Roman"/>
          <w:sz w:val="24"/>
          <w:szCs w:val="24"/>
        </w:rPr>
        <w:t>Market Structures</w:t>
      </w:r>
    </w:p>
    <w:p w:rsidR="001C5319" w:rsidRDefault="00A06433" w:rsidP="001C531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C5319" w:rsidRDefault="00A06433" w:rsidP="001C531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C5319" w:rsidRDefault="00A06433" w:rsidP="001C5319">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1C5319" w:rsidRDefault="00A06433" w:rsidP="001C5319">
      <w:pPr>
        <w:spacing w:line="480" w:lineRule="auto"/>
        <w:jc w:val="center"/>
        <w:rPr>
          <w:rFonts w:ascii="Times New Roman" w:hAnsi="Times New Roman" w:cs="Times New Roman"/>
          <w:sz w:val="24"/>
          <w:szCs w:val="24"/>
        </w:rPr>
      </w:pPr>
      <w:r>
        <w:rPr>
          <w:rFonts w:ascii="Times New Roman" w:hAnsi="Times New Roman" w:cs="Times New Roman"/>
          <w:sz w:val="24"/>
          <w:szCs w:val="24"/>
        </w:rPr>
        <w:t>10/25/2019</w:t>
      </w:r>
    </w:p>
    <w:p w:rsidR="001C5319" w:rsidRPr="001C5319" w:rsidRDefault="001C5319" w:rsidP="001C5319">
      <w:pPr>
        <w:rPr>
          <w:rFonts w:ascii="Times New Roman" w:hAnsi="Times New Roman" w:cs="Times New Roman"/>
          <w:sz w:val="24"/>
          <w:szCs w:val="24"/>
        </w:rPr>
      </w:pPr>
    </w:p>
    <w:p w:rsidR="001C5319" w:rsidRPr="001C5319" w:rsidRDefault="001C5319" w:rsidP="001C5319">
      <w:pPr>
        <w:rPr>
          <w:rFonts w:ascii="Times New Roman" w:hAnsi="Times New Roman" w:cs="Times New Roman"/>
          <w:sz w:val="24"/>
          <w:szCs w:val="24"/>
        </w:rPr>
      </w:pPr>
    </w:p>
    <w:p w:rsidR="001C5319" w:rsidRDefault="001C5319" w:rsidP="001C5319">
      <w:pPr>
        <w:rPr>
          <w:rFonts w:ascii="Times New Roman" w:hAnsi="Times New Roman" w:cs="Times New Roman"/>
          <w:sz w:val="24"/>
          <w:szCs w:val="24"/>
        </w:rPr>
      </w:pPr>
    </w:p>
    <w:p w:rsidR="001C5319" w:rsidRDefault="001C5319" w:rsidP="001C5319">
      <w:pPr>
        <w:rPr>
          <w:rFonts w:ascii="Times New Roman" w:hAnsi="Times New Roman" w:cs="Times New Roman"/>
          <w:sz w:val="24"/>
          <w:szCs w:val="24"/>
        </w:rPr>
      </w:pPr>
    </w:p>
    <w:p w:rsidR="001C5319" w:rsidRDefault="001C5319" w:rsidP="001C5319">
      <w:pPr>
        <w:rPr>
          <w:rFonts w:ascii="Times New Roman" w:hAnsi="Times New Roman" w:cs="Times New Roman"/>
          <w:sz w:val="24"/>
          <w:szCs w:val="24"/>
        </w:rPr>
      </w:pPr>
    </w:p>
    <w:p w:rsidR="001C5319" w:rsidRDefault="001C5319" w:rsidP="001C5319">
      <w:pPr>
        <w:rPr>
          <w:rFonts w:ascii="Times New Roman" w:hAnsi="Times New Roman" w:cs="Times New Roman"/>
          <w:sz w:val="24"/>
          <w:szCs w:val="24"/>
        </w:rPr>
      </w:pPr>
    </w:p>
    <w:p w:rsidR="001C5319" w:rsidRDefault="00A06433" w:rsidP="001C531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Economic Brief</w:t>
      </w:r>
    </w:p>
    <w:p w:rsidR="001C5319" w:rsidRDefault="00A06433" w:rsidP="001C5319">
      <w:pPr>
        <w:spacing w:line="480" w:lineRule="auto"/>
        <w:jc w:val="center"/>
        <w:rPr>
          <w:rFonts w:ascii="Times New Roman" w:hAnsi="Times New Roman" w:cs="Times New Roman"/>
          <w:sz w:val="24"/>
          <w:szCs w:val="24"/>
        </w:rPr>
      </w:pPr>
      <w:r>
        <w:rPr>
          <w:rFonts w:ascii="Times New Roman" w:hAnsi="Times New Roman" w:cs="Times New Roman"/>
          <w:sz w:val="24"/>
          <w:szCs w:val="24"/>
        </w:rPr>
        <w:t>Market Structures</w:t>
      </w:r>
    </w:p>
    <w:p w:rsidR="00E0555B" w:rsidRDefault="00A06433" w:rsidP="00E0555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The finance and the insurance industry is one of the major economic sectors in the United States (U.S) that carries out financial transactions involving financial assets. In this regard, the industry raises funds by issuing securities as well as taking deposits; as a result, incurring liabilities. Also, the players in this industry pool risks by collectively accumulating annuity considerations, insurance premiums, and build up reserves. The provision of specialized services related to insurance, financial intermediation, and employee benefit programs is another characteristic of the industry.  Mortgage and nonmortgage loan brokers </w:t>
      </w:r>
      <w:r w:rsidR="002C425C">
        <w:rPr>
          <w:rFonts w:ascii="Times New Roman" w:hAnsi="Times New Roman" w:cs="Times New Roman"/>
          <w:sz w:val="24"/>
          <w:szCs w:val="24"/>
        </w:rPr>
        <w:t>are significant players in this industry since they ensure loan arrangement by organizing borrowers and lenders on a commission fee basis</w:t>
      </w:r>
      <w:r w:rsidR="008266E0">
        <w:rPr>
          <w:rFonts w:ascii="Times New Roman" w:hAnsi="Times New Roman" w:cs="Times New Roman"/>
          <w:sz w:val="24"/>
          <w:szCs w:val="24"/>
        </w:rPr>
        <w:t xml:space="preserve"> (1)</w:t>
      </w:r>
      <w:r w:rsidR="002C425C">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1C5319" w:rsidRDefault="00A06433" w:rsidP="001C5319">
      <w:pPr>
        <w:spacing w:line="480" w:lineRule="auto"/>
        <w:rPr>
          <w:rFonts w:ascii="Times New Roman" w:hAnsi="Times New Roman" w:cs="Times New Roman"/>
          <w:b/>
          <w:sz w:val="24"/>
          <w:szCs w:val="24"/>
        </w:rPr>
      </w:pPr>
      <w:r w:rsidRPr="00E0555B">
        <w:rPr>
          <w:rFonts w:ascii="Times New Roman" w:hAnsi="Times New Roman" w:cs="Times New Roman"/>
          <w:b/>
          <w:sz w:val="24"/>
          <w:szCs w:val="24"/>
        </w:rPr>
        <w:t>Industry Goods and Services</w:t>
      </w:r>
    </w:p>
    <w:p w:rsidR="002227D4" w:rsidRDefault="00A06433" w:rsidP="001C5319">
      <w:pPr>
        <w:spacing w:line="480" w:lineRule="auto"/>
        <w:rPr>
          <w:rFonts w:ascii="Times New Roman" w:hAnsi="Times New Roman" w:cs="Times New Roman"/>
          <w:sz w:val="24"/>
          <w:szCs w:val="24"/>
        </w:rPr>
      </w:pPr>
      <w:r>
        <w:rPr>
          <w:rFonts w:ascii="Times New Roman" w:hAnsi="Times New Roman" w:cs="Times New Roman"/>
          <w:b/>
          <w:sz w:val="24"/>
          <w:szCs w:val="24"/>
        </w:rPr>
        <w:tab/>
      </w:r>
      <w:r w:rsidR="002C425C">
        <w:rPr>
          <w:rFonts w:ascii="Times New Roman" w:hAnsi="Times New Roman" w:cs="Times New Roman"/>
          <w:sz w:val="24"/>
          <w:szCs w:val="24"/>
        </w:rPr>
        <w:t>The mortgage and nonmortgage loan brokerage loans include services such as loan brokerage, mort</w:t>
      </w:r>
      <w:r>
        <w:rPr>
          <w:rFonts w:ascii="Times New Roman" w:hAnsi="Times New Roman" w:cs="Times New Roman"/>
          <w:sz w:val="24"/>
          <w:szCs w:val="24"/>
        </w:rPr>
        <w:t>gage brokerage, liquidation,</w:t>
      </w:r>
      <w:r w:rsidR="002C425C">
        <w:rPr>
          <w:rFonts w:ascii="Times New Roman" w:hAnsi="Times New Roman" w:cs="Times New Roman"/>
          <w:sz w:val="24"/>
          <w:szCs w:val="24"/>
        </w:rPr>
        <w:t xml:space="preserve"> creation,</w:t>
      </w:r>
      <w:r>
        <w:rPr>
          <w:rFonts w:ascii="Times New Roman" w:hAnsi="Times New Roman" w:cs="Times New Roman"/>
          <w:sz w:val="24"/>
          <w:szCs w:val="24"/>
        </w:rPr>
        <w:t xml:space="preserve"> and transfer</w:t>
      </w:r>
      <w:r w:rsidR="002C425C">
        <w:rPr>
          <w:rFonts w:ascii="Times New Roman" w:hAnsi="Times New Roman" w:cs="Times New Roman"/>
          <w:sz w:val="24"/>
          <w:szCs w:val="24"/>
        </w:rPr>
        <w:t xml:space="preserve"> of possession for financial assets. </w:t>
      </w:r>
      <w:r>
        <w:rPr>
          <w:rFonts w:ascii="Times New Roman" w:hAnsi="Times New Roman" w:cs="Times New Roman"/>
          <w:sz w:val="24"/>
          <w:szCs w:val="24"/>
        </w:rPr>
        <w:t xml:space="preserve"> Mortgage and nonmortgage brokers facilitate the acquisition of assets through the creation of loans or buying of securities. The brokers take risks by facilitating the transfer of funds to borrowers from various lenders. Also, they repackage the funds based on risk, scale, and maturity before transfer. Besides, they invest in buildup reserves and provide contractual payments on the mortgage and nonmortgage financial assets. Notably, the industry is characterized by financial intermediation.  </w:t>
      </w:r>
    </w:p>
    <w:p w:rsidR="00E0555B" w:rsidRPr="00E0555B" w:rsidRDefault="00A06433" w:rsidP="001C531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0555B" w:rsidRDefault="00A06433" w:rsidP="001C5319">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Market Structure and Characteristics</w:t>
      </w:r>
    </w:p>
    <w:p w:rsidR="00C727DF" w:rsidRPr="00C727DF" w:rsidRDefault="00A06433" w:rsidP="001C531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market structure of the industry is based on finance and insurance that is defined according to the level of intermediation. The level of intermediation is differentiated based on the </w:t>
      </w:r>
      <w:r w:rsidR="0042534E">
        <w:rPr>
          <w:rFonts w:ascii="Times New Roman" w:hAnsi="Times New Roman" w:cs="Times New Roman"/>
          <w:sz w:val="24"/>
          <w:szCs w:val="24"/>
        </w:rPr>
        <w:t>specialized brokerage human resources as well as the specialized mortgage and nonmortgage assets. Structural organization in this industry also depends on the methodologies that brokers use to acquire and distribute mortgage and nonmortgage capital, source of funds, and how the funds are used</w:t>
      </w:r>
      <w:r w:rsidR="008266E0">
        <w:rPr>
          <w:rFonts w:ascii="Times New Roman" w:hAnsi="Times New Roman" w:cs="Times New Roman"/>
          <w:sz w:val="24"/>
          <w:szCs w:val="24"/>
        </w:rPr>
        <w:t xml:space="preserve"> (2)</w:t>
      </w:r>
      <w:r w:rsidR="0042534E">
        <w:rPr>
          <w:rFonts w:ascii="Times New Roman" w:hAnsi="Times New Roman" w:cs="Times New Roman"/>
          <w:sz w:val="24"/>
          <w:szCs w:val="24"/>
        </w:rPr>
        <w:t>. In this regard, brokers either raise funds by deposit-taking or through bonds and money markets. Also, the creation of mortgages and nonmortgage requires the brokers to invest in monetary pools or underwrite securities.</w:t>
      </w:r>
    </w:p>
    <w:p w:rsidR="00E0555B" w:rsidRDefault="00A06433" w:rsidP="001C5319">
      <w:pPr>
        <w:spacing w:line="480" w:lineRule="auto"/>
        <w:rPr>
          <w:rFonts w:ascii="Times New Roman" w:hAnsi="Times New Roman" w:cs="Times New Roman"/>
          <w:b/>
          <w:sz w:val="24"/>
          <w:szCs w:val="24"/>
        </w:rPr>
      </w:pPr>
      <w:r>
        <w:rPr>
          <w:rFonts w:ascii="Times New Roman" w:hAnsi="Times New Roman" w:cs="Times New Roman"/>
          <w:b/>
          <w:sz w:val="24"/>
          <w:szCs w:val="24"/>
        </w:rPr>
        <w:t>Microeconomic Relationship, Market Outcomes, and Trends</w:t>
      </w:r>
    </w:p>
    <w:p w:rsidR="0042534E" w:rsidRDefault="00A06433" w:rsidP="001C531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output of mortgage and nonmortgage brokerage is multiple financial services that form the basis of inputs that are combined </w:t>
      </w:r>
      <w:r w:rsidR="005F05EF">
        <w:rPr>
          <w:rFonts w:ascii="Times New Roman" w:hAnsi="Times New Roman" w:cs="Times New Roman"/>
          <w:sz w:val="24"/>
          <w:szCs w:val="24"/>
        </w:rPr>
        <w:t>at different locations within the market. There are independent input activities that distinguish the levels of loan creation, but points directly to multi-location mortgage and nonmortgage firms. However, these activities are homogenous despite the numerous forms of intermediation that occur. As a result, mortgage and nonmortgage loans are processed with the help of intermediaries to reach the borrowers.  One current trend within the industry is the usage of electronic means to facilitate verification, authorization, and transfer of funds from the lenders’ accounts to the borrowers’ accounts</w:t>
      </w:r>
      <w:r w:rsidR="008266E0">
        <w:rPr>
          <w:rFonts w:ascii="Times New Roman" w:hAnsi="Times New Roman" w:cs="Times New Roman"/>
          <w:sz w:val="24"/>
          <w:szCs w:val="24"/>
        </w:rPr>
        <w:t xml:space="preserve"> (2)</w:t>
      </w:r>
      <w:r w:rsidR="005F05EF">
        <w:rPr>
          <w:rFonts w:ascii="Times New Roman" w:hAnsi="Times New Roman" w:cs="Times New Roman"/>
          <w:sz w:val="24"/>
          <w:szCs w:val="24"/>
        </w:rPr>
        <w:t>. Therefore, the notifying banks, as well as the transaction parties, receive daily summaries.</w:t>
      </w:r>
    </w:p>
    <w:p w:rsidR="00650ED2" w:rsidRDefault="00650ED2" w:rsidP="001C5319">
      <w:pPr>
        <w:spacing w:line="480" w:lineRule="auto"/>
        <w:rPr>
          <w:rFonts w:ascii="Times New Roman" w:hAnsi="Times New Roman" w:cs="Times New Roman"/>
          <w:sz w:val="24"/>
          <w:szCs w:val="24"/>
        </w:rPr>
      </w:pPr>
    </w:p>
    <w:p w:rsidR="00650ED2" w:rsidRDefault="00650ED2" w:rsidP="001C5319">
      <w:pPr>
        <w:spacing w:line="480" w:lineRule="auto"/>
        <w:rPr>
          <w:rFonts w:ascii="Times New Roman" w:hAnsi="Times New Roman" w:cs="Times New Roman"/>
          <w:sz w:val="24"/>
          <w:szCs w:val="24"/>
        </w:rPr>
      </w:pPr>
    </w:p>
    <w:p w:rsidR="00650ED2" w:rsidRDefault="00650ED2" w:rsidP="001C5319">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667250" cy="2895600"/>
            <wp:effectExtent l="0" t="0" r="0" b="0"/>
            <wp:docPr id="1" name="Picture 1" descr="C:\Users\User\Downloads\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download (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67250" cy="2895600"/>
                    </a:xfrm>
                    <a:prstGeom prst="rect">
                      <a:avLst/>
                    </a:prstGeom>
                    <a:noFill/>
                    <a:ln>
                      <a:noFill/>
                    </a:ln>
                  </pic:spPr>
                </pic:pic>
              </a:graphicData>
            </a:graphic>
          </wp:inline>
        </w:drawing>
      </w:r>
    </w:p>
    <w:p w:rsidR="004A10D8" w:rsidRPr="0042534E" w:rsidRDefault="00650ED2" w:rsidP="001C5319">
      <w:pPr>
        <w:spacing w:line="480" w:lineRule="auto"/>
        <w:rPr>
          <w:rFonts w:ascii="Times New Roman" w:hAnsi="Times New Roman" w:cs="Times New Roman"/>
          <w:sz w:val="24"/>
          <w:szCs w:val="24"/>
        </w:rPr>
      </w:pPr>
      <w:r>
        <w:rPr>
          <w:rFonts w:ascii="Times New Roman" w:hAnsi="Times New Roman" w:cs="Times New Roman"/>
          <w:sz w:val="24"/>
          <w:szCs w:val="24"/>
        </w:rPr>
        <w:t>Source: nationalmortgaganews.com</w:t>
      </w:r>
      <w:bookmarkStart w:id="0" w:name="_GoBack"/>
      <w:bookmarkEnd w:id="0"/>
    </w:p>
    <w:p w:rsidR="00E0555B" w:rsidRDefault="00A06433" w:rsidP="001C5319">
      <w:pPr>
        <w:spacing w:line="480" w:lineRule="auto"/>
        <w:rPr>
          <w:rFonts w:ascii="Times New Roman" w:hAnsi="Times New Roman" w:cs="Times New Roman"/>
          <w:b/>
          <w:sz w:val="24"/>
          <w:szCs w:val="24"/>
        </w:rPr>
      </w:pPr>
      <w:r>
        <w:rPr>
          <w:rFonts w:ascii="Times New Roman" w:hAnsi="Times New Roman" w:cs="Times New Roman"/>
          <w:b/>
          <w:sz w:val="24"/>
          <w:szCs w:val="24"/>
        </w:rPr>
        <w:t>How Government Intervention May Impact the Industry</w:t>
      </w:r>
    </w:p>
    <w:p w:rsidR="004A10D8" w:rsidRDefault="00A06433" w:rsidP="001C531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Government intervention regulates the licensing of mortgage and nonmortgage brokerage firms, and this can cause bureaucratic challenges to new entrants. The government strives to monitor and preserve the solvency of these firms to ensure that they do not disappear with people’s money.  Also, government intervention has impacted positively on the industry since it regulates and standardizes mortgage and nonmortgage policies and products to ensure that both lenders and borrowers are not victims of fraud.  Besides, the government prevents unfair trade practices that are likely to hurt the transaction parties and reduce revenue remission. </w:t>
      </w: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4A10D8" w:rsidRDefault="004A10D8" w:rsidP="001C5319">
      <w:pPr>
        <w:spacing w:line="480" w:lineRule="auto"/>
        <w:rPr>
          <w:rFonts w:ascii="Times New Roman" w:hAnsi="Times New Roman" w:cs="Times New Roman"/>
          <w:sz w:val="24"/>
          <w:szCs w:val="24"/>
        </w:rPr>
      </w:pPr>
    </w:p>
    <w:p w:rsidR="00BC6137" w:rsidRDefault="00A06433" w:rsidP="00BC6137">
      <w:pPr>
        <w:spacing w:line="480" w:lineRule="auto"/>
        <w:jc w:val="center"/>
        <w:rPr>
          <w:rFonts w:ascii="Times New Roman" w:hAnsi="Times New Roman" w:cs="Times New Roman"/>
          <w:sz w:val="24"/>
          <w:szCs w:val="24"/>
        </w:rPr>
      </w:pPr>
      <w:r>
        <w:rPr>
          <w:rFonts w:ascii="Times New Roman" w:hAnsi="Times New Roman" w:cs="Times New Roman"/>
          <w:sz w:val="24"/>
          <w:szCs w:val="24"/>
        </w:rPr>
        <w:t>Sources</w:t>
      </w:r>
    </w:p>
    <w:p w:rsidR="005B3D2E" w:rsidRDefault="00A06433" w:rsidP="001C5319">
      <w:pPr>
        <w:spacing w:line="480" w:lineRule="auto"/>
        <w:rPr>
          <w:rFonts w:ascii="Times New Roman" w:hAnsi="Times New Roman" w:cs="Times New Roman"/>
          <w:sz w:val="24"/>
          <w:szCs w:val="24"/>
        </w:rPr>
      </w:pPr>
      <w:r>
        <w:rPr>
          <w:rFonts w:ascii="Times New Roman" w:hAnsi="Times New Roman" w:cs="Times New Roman"/>
          <w:sz w:val="24"/>
          <w:szCs w:val="24"/>
        </w:rPr>
        <w:t xml:space="preserve">United States Census Bureau. (n. d). 522310 Mortgage and nonmortgage loan brokers. </w:t>
      </w:r>
    </w:p>
    <w:p w:rsidR="005B3D2E" w:rsidRDefault="00A06433" w:rsidP="001C5319">
      <w:pPr>
        <w:spacing w:line="480" w:lineRule="auto"/>
        <w:rPr>
          <w:rFonts w:ascii="Times New Roman" w:hAnsi="Times New Roman" w:cs="Times New Roman"/>
          <w:sz w:val="24"/>
          <w:szCs w:val="24"/>
        </w:rPr>
      </w:pPr>
      <w:r>
        <w:rPr>
          <w:rFonts w:ascii="Times New Roman" w:hAnsi="Times New Roman" w:cs="Times New Roman"/>
          <w:sz w:val="24"/>
          <w:szCs w:val="24"/>
        </w:rPr>
        <w:tab/>
      </w:r>
      <w:r w:rsidRPr="005B3D2E">
        <w:rPr>
          <w:rFonts w:ascii="Times New Roman" w:hAnsi="Times New Roman" w:cs="Times New Roman"/>
          <w:sz w:val="24"/>
          <w:szCs w:val="24"/>
        </w:rPr>
        <w:t>North American Industry Classification System</w:t>
      </w:r>
      <w:r>
        <w:rPr>
          <w:rFonts w:ascii="Times New Roman" w:hAnsi="Times New Roman" w:cs="Times New Roman"/>
          <w:sz w:val="24"/>
          <w:szCs w:val="24"/>
        </w:rPr>
        <w:t>. Retrieved from</w:t>
      </w:r>
    </w:p>
    <w:p w:rsidR="005B3D2E" w:rsidRDefault="00650ED2" w:rsidP="005B3D2E">
      <w:pPr>
        <w:spacing w:line="480" w:lineRule="auto"/>
        <w:ind w:left="720"/>
        <w:rPr>
          <w:rFonts w:ascii="Times New Roman" w:hAnsi="Times New Roman" w:cs="Times New Roman"/>
          <w:sz w:val="24"/>
          <w:szCs w:val="24"/>
        </w:rPr>
      </w:pPr>
      <w:hyperlink r:id="rId7" w:history="1">
        <w:r w:rsidR="00A06433" w:rsidRPr="00955981">
          <w:rPr>
            <w:rStyle w:val="Hyperlink"/>
            <w:rFonts w:ascii="Times New Roman" w:hAnsi="Times New Roman" w:cs="Times New Roman"/>
            <w:sz w:val="24"/>
            <w:szCs w:val="24"/>
          </w:rPr>
          <w:t>https://www.census.gov/cgi-bin/sssd/naics/naicsrch?code=522310&amp;search=2017%20NAICS%20Search</w:t>
        </w:r>
      </w:hyperlink>
    </w:p>
    <w:p w:rsidR="004A10D8" w:rsidRDefault="00A06433" w:rsidP="001C5319">
      <w:pPr>
        <w:spacing w:line="480" w:lineRule="auto"/>
        <w:rPr>
          <w:rFonts w:ascii="Times New Roman" w:hAnsi="Times New Roman" w:cs="Times New Roman"/>
          <w:sz w:val="24"/>
          <w:szCs w:val="24"/>
        </w:rPr>
      </w:pPr>
      <w:r>
        <w:rPr>
          <w:rFonts w:ascii="Times New Roman" w:hAnsi="Times New Roman" w:cs="Times New Roman"/>
          <w:sz w:val="24"/>
          <w:szCs w:val="24"/>
        </w:rPr>
        <w:t xml:space="preserve">United States Census. (n. d). Sector 52 – Finance and insurance: The sector as a whole. </w:t>
      </w:r>
    </w:p>
    <w:p w:rsidR="004A10D8" w:rsidRDefault="00A06433" w:rsidP="001C5319">
      <w:pPr>
        <w:spacing w:line="480" w:lineRule="auto"/>
        <w:rPr>
          <w:rFonts w:ascii="Times New Roman" w:hAnsi="Times New Roman" w:cs="Times New Roman"/>
          <w:sz w:val="24"/>
          <w:szCs w:val="24"/>
        </w:rPr>
      </w:pPr>
      <w:r>
        <w:rPr>
          <w:rFonts w:ascii="Times New Roman" w:hAnsi="Times New Roman" w:cs="Times New Roman"/>
          <w:sz w:val="24"/>
          <w:szCs w:val="24"/>
        </w:rPr>
        <w:tab/>
      </w:r>
      <w:r w:rsidRPr="004A10D8">
        <w:rPr>
          <w:rFonts w:ascii="Times New Roman" w:hAnsi="Times New Roman" w:cs="Times New Roman"/>
          <w:sz w:val="24"/>
          <w:szCs w:val="24"/>
        </w:rPr>
        <w:t>North American Industry Classification System</w:t>
      </w:r>
      <w:r>
        <w:rPr>
          <w:rFonts w:ascii="Times New Roman" w:hAnsi="Times New Roman" w:cs="Times New Roman"/>
          <w:sz w:val="24"/>
          <w:szCs w:val="24"/>
        </w:rPr>
        <w:t>. Retrieved from</w:t>
      </w:r>
    </w:p>
    <w:p w:rsidR="004A10D8" w:rsidRPr="004A10D8" w:rsidRDefault="00650ED2" w:rsidP="004A10D8">
      <w:pPr>
        <w:spacing w:line="480" w:lineRule="auto"/>
        <w:ind w:left="720"/>
        <w:rPr>
          <w:rFonts w:ascii="Times New Roman" w:hAnsi="Times New Roman" w:cs="Times New Roman"/>
          <w:sz w:val="24"/>
          <w:szCs w:val="24"/>
        </w:rPr>
      </w:pPr>
      <w:hyperlink r:id="rId8" w:history="1">
        <w:r w:rsidR="00A06433" w:rsidRPr="00955981">
          <w:rPr>
            <w:rStyle w:val="Hyperlink"/>
            <w:rFonts w:ascii="Times New Roman" w:hAnsi="Times New Roman" w:cs="Times New Roman"/>
            <w:sz w:val="24"/>
            <w:szCs w:val="24"/>
          </w:rPr>
          <w:t>https://www.census.gov/cgi-bin/sssd/naics/naicsrch?code=52&amp;search=2017%20NAICS%20Search</w:t>
        </w:r>
      </w:hyperlink>
    </w:p>
    <w:p w:rsidR="00E0555B" w:rsidRDefault="00E0555B" w:rsidP="001C5319">
      <w:pPr>
        <w:spacing w:line="480" w:lineRule="auto"/>
        <w:rPr>
          <w:rFonts w:ascii="Times New Roman" w:hAnsi="Times New Roman" w:cs="Times New Roman"/>
          <w:sz w:val="24"/>
          <w:szCs w:val="24"/>
        </w:rPr>
      </w:pPr>
    </w:p>
    <w:p w:rsidR="001C5319" w:rsidRPr="001C5319" w:rsidRDefault="001C5319" w:rsidP="001C5319">
      <w:pPr>
        <w:spacing w:line="480" w:lineRule="auto"/>
        <w:jc w:val="center"/>
        <w:rPr>
          <w:rFonts w:ascii="Times New Roman" w:hAnsi="Times New Roman" w:cs="Times New Roman"/>
          <w:sz w:val="24"/>
          <w:szCs w:val="24"/>
        </w:rPr>
      </w:pPr>
    </w:p>
    <w:sectPr w:rsidR="001C5319" w:rsidRPr="001C5319" w:rsidSect="001C531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319"/>
    <w:rsid w:val="001C5319"/>
    <w:rsid w:val="001D2666"/>
    <w:rsid w:val="002227D4"/>
    <w:rsid w:val="002C425C"/>
    <w:rsid w:val="0042534E"/>
    <w:rsid w:val="004A10D8"/>
    <w:rsid w:val="004F7DD0"/>
    <w:rsid w:val="005B3D2E"/>
    <w:rsid w:val="005F05EF"/>
    <w:rsid w:val="00650ED2"/>
    <w:rsid w:val="0080412D"/>
    <w:rsid w:val="008266E0"/>
    <w:rsid w:val="00955981"/>
    <w:rsid w:val="00A06433"/>
    <w:rsid w:val="00BC6137"/>
    <w:rsid w:val="00BD4F4E"/>
    <w:rsid w:val="00C727DF"/>
    <w:rsid w:val="00E05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3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319"/>
  </w:style>
  <w:style w:type="paragraph" w:styleId="Footer">
    <w:name w:val="footer"/>
    <w:basedOn w:val="Normal"/>
    <w:link w:val="FooterChar"/>
    <w:uiPriority w:val="99"/>
    <w:unhideWhenUsed/>
    <w:rsid w:val="001C53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319"/>
  </w:style>
  <w:style w:type="character" w:styleId="Hyperlink">
    <w:name w:val="Hyperlink"/>
    <w:basedOn w:val="DefaultParagraphFont"/>
    <w:uiPriority w:val="99"/>
    <w:unhideWhenUsed/>
    <w:rsid w:val="004A10D8"/>
    <w:rPr>
      <w:color w:val="0000FF" w:themeColor="hyperlink"/>
      <w:u w:val="single"/>
    </w:rPr>
  </w:style>
  <w:style w:type="paragraph" w:styleId="BalloonText">
    <w:name w:val="Balloon Text"/>
    <w:basedOn w:val="Normal"/>
    <w:link w:val="BalloonTextChar"/>
    <w:uiPriority w:val="99"/>
    <w:semiHidden/>
    <w:unhideWhenUsed/>
    <w:rsid w:val="00650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0E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3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319"/>
  </w:style>
  <w:style w:type="paragraph" w:styleId="Footer">
    <w:name w:val="footer"/>
    <w:basedOn w:val="Normal"/>
    <w:link w:val="FooterChar"/>
    <w:uiPriority w:val="99"/>
    <w:unhideWhenUsed/>
    <w:rsid w:val="001C53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319"/>
  </w:style>
  <w:style w:type="character" w:styleId="Hyperlink">
    <w:name w:val="Hyperlink"/>
    <w:basedOn w:val="DefaultParagraphFont"/>
    <w:uiPriority w:val="99"/>
    <w:unhideWhenUsed/>
    <w:rsid w:val="004A10D8"/>
    <w:rPr>
      <w:color w:val="0000FF" w:themeColor="hyperlink"/>
      <w:u w:val="single"/>
    </w:rPr>
  </w:style>
  <w:style w:type="paragraph" w:styleId="BalloonText">
    <w:name w:val="Balloon Text"/>
    <w:basedOn w:val="Normal"/>
    <w:link w:val="BalloonTextChar"/>
    <w:uiPriority w:val="99"/>
    <w:semiHidden/>
    <w:unhideWhenUsed/>
    <w:rsid w:val="00650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0E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sus.gov/cgi-bin/sssd/naics/naicsrch?code=52&amp;search=2017%20NAICS%20Search" TargetMode="External"/><Relationship Id="rId3" Type="http://schemas.microsoft.com/office/2007/relationships/stylesWithEffects" Target="stylesWithEffects.xml"/><Relationship Id="rId7" Type="http://schemas.openxmlformats.org/officeDocument/2006/relationships/hyperlink" Target="https://www.census.gov/cgi-bin/sssd/naics/naicsrch?code=522310&amp;search=2017%20NAICS%20Searc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34BDDE-299E-491B-B338-97C2C6781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701</Words>
  <Characters>4001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2019-10-25T17:36:00Z</dcterms:created>
  <dcterms:modified xsi:type="dcterms:W3CDTF">2019-10-28T07:57:00Z</dcterms:modified>
</cp:coreProperties>
</file>